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4A" w:rsidRDefault="00AA6E62">
      <w:pPr>
        <w:spacing w:after="0"/>
        <w:ind w:left="1414" w:right="-15" w:hanging="10"/>
        <w:jc w:val="left"/>
      </w:pPr>
      <w:bookmarkStart w:id="0" w:name="_GoBack"/>
      <w:bookmarkEnd w:id="0"/>
      <w:r>
        <w:rPr>
          <w:b/>
          <w:sz w:val="22"/>
        </w:rPr>
        <w:t xml:space="preserve">ANEXO VIII - MODELO DE PROPOSTA ORIENTADORA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68314A" w:rsidRDefault="00AA6E62">
      <w:pPr>
        <w:spacing w:after="0"/>
        <w:ind w:left="-5" w:right="-15" w:hanging="10"/>
      </w:pPr>
      <w:r>
        <w:rPr>
          <w:b/>
          <w:sz w:val="20"/>
        </w:rPr>
        <w:t xml:space="preserve">Ao </w:t>
      </w:r>
    </w:p>
    <w:p w:rsidR="0068314A" w:rsidRDefault="00AA6E62">
      <w:pPr>
        <w:spacing w:after="0"/>
        <w:ind w:left="-5" w:right="-15" w:hanging="10"/>
      </w:pPr>
      <w:r>
        <w:rPr>
          <w:b/>
          <w:sz w:val="20"/>
        </w:rPr>
        <w:t xml:space="preserve">BANCO DO NORDESTE DO BRASIL S/A </w:t>
      </w:r>
    </w:p>
    <w:p w:rsidR="0068314A" w:rsidRDefault="00AA6E62">
      <w:pPr>
        <w:spacing w:after="0"/>
        <w:ind w:left="-5" w:right="-15" w:hanging="10"/>
      </w:pPr>
      <w:r>
        <w:rPr>
          <w:b/>
          <w:sz w:val="20"/>
        </w:rPr>
        <w:t xml:space="preserve">COMISSÃO DE LICITAÇÃO – COLIC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b/>
          <w:sz w:val="20"/>
        </w:rPr>
        <w:t xml:space="preserve">Ref.: </w:t>
      </w:r>
      <w:r>
        <w:rPr>
          <w:b/>
          <w:i/>
          <w:sz w:val="20"/>
        </w:rPr>
        <w:t>Request for Proposal</w:t>
      </w:r>
      <w:r>
        <w:rPr>
          <w:b/>
          <w:sz w:val="20"/>
        </w:rPr>
        <w:t xml:space="preserve"> - RFP </w:t>
      </w:r>
      <w:r>
        <w:rPr>
          <w:b/>
          <w:sz w:val="20"/>
        </w:rPr>
        <w:tab/>
        <w:t xml:space="preserve">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:rsidR="0068314A" w:rsidRDefault="00AA6E62">
      <w:pPr>
        <w:spacing w:after="0" w:line="238" w:lineRule="auto"/>
        <w:ind w:left="-5" w:right="-15" w:hanging="10"/>
        <w:jc w:val="left"/>
      </w:pPr>
      <w:r>
        <w:rPr>
          <w:sz w:val="20"/>
        </w:rPr>
        <w:t xml:space="preserve">Prezados Senhores,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68314A" w:rsidRDefault="00AA6E62">
      <w:pPr>
        <w:spacing w:after="253"/>
        <w:ind w:left="-5" w:right="1651" w:hanging="10"/>
      </w:pPr>
      <w:r>
        <w:rPr>
          <w:b/>
          <w:sz w:val="20"/>
        </w:rPr>
        <w:t>Apresentamos, em atendimento ao Edital do Pregão em epígrafe, a seguinte proposta de preços para Contratação de serviços de implementação da solução Integrada de Gestão Empresarial na plataforma SAP, treinamentos na solução, suporte e manutenção de licença</w:t>
      </w:r>
      <w:r>
        <w:rPr>
          <w:b/>
          <w:sz w:val="20"/>
        </w:rPr>
        <w:t xml:space="preserve">s, suporte técnico e manutenção e desenvolvimento da solução. </w:t>
      </w:r>
    </w:p>
    <w:tbl>
      <w:tblPr>
        <w:tblStyle w:val="TableGrid"/>
        <w:tblW w:w="8647" w:type="dxa"/>
        <w:tblInd w:w="1" w:type="dxa"/>
        <w:tblCellMar>
          <w:top w:w="0" w:type="dxa"/>
          <w:left w:w="6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416"/>
        <w:gridCol w:w="2269"/>
        <w:gridCol w:w="992"/>
        <w:gridCol w:w="1278"/>
        <w:gridCol w:w="991"/>
        <w:gridCol w:w="1701"/>
      </w:tblGrid>
      <w:tr w:rsidR="0068314A">
        <w:trPr>
          <w:trHeight w:val="358"/>
        </w:trPr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68314A" w:rsidRDefault="00AA6E62">
            <w:pPr>
              <w:spacing w:after="0" w:line="276" w:lineRule="auto"/>
              <w:ind w:left="38" w:right="0" w:firstLine="0"/>
              <w:jc w:val="left"/>
            </w:pPr>
            <w:r>
              <w:rPr>
                <w:b/>
                <w:sz w:val="20"/>
              </w:rPr>
              <w:t xml:space="preserve">Descrição dos Serviços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314A" w:rsidRDefault="00AA6E62">
            <w:pPr>
              <w:spacing w:after="0" w:line="276" w:lineRule="auto"/>
              <w:ind w:left="40" w:right="0" w:firstLine="0"/>
              <w:jc w:val="left"/>
            </w:pPr>
            <w:r>
              <w:rPr>
                <w:b/>
                <w:sz w:val="20"/>
              </w:rPr>
              <w:t xml:space="preserve">Preço total (R$) </w:t>
            </w:r>
          </w:p>
        </w:tc>
      </w:tr>
      <w:tr w:rsidR="0068314A">
        <w:trPr>
          <w:trHeight w:val="361"/>
        </w:trPr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4A" w:rsidRDefault="00AA6E62">
            <w:pPr>
              <w:spacing w:after="0" w:line="276" w:lineRule="auto"/>
              <w:ind w:left="38" w:right="0" w:firstLine="0"/>
              <w:jc w:val="left"/>
            </w:pPr>
            <w:r>
              <w:rPr>
                <w:b/>
                <w:sz w:val="20"/>
              </w:rPr>
              <w:t xml:space="preserve">I. Serviços de implementação da solução (A) = (B) + (C)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40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68314A">
        <w:trPr>
          <w:trHeight w:val="492"/>
        </w:trPr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4A" w:rsidRDefault="00AA6E62">
            <w:pPr>
              <w:spacing w:after="0" w:line="276" w:lineRule="auto"/>
              <w:ind w:left="322" w:right="0" w:firstLine="0"/>
              <w:jc w:val="left"/>
            </w:pPr>
            <w:r>
              <w:rPr>
                <w:b/>
                <w:sz w:val="16"/>
              </w:rPr>
              <w:t>I.I   Planejamento do Projeto</w:t>
            </w:r>
            <w:r>
              <w:rPr>
                <w:b/>
                <w:color w:val="FF0000"/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(B) – Limitado a 3% do Item I.II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77" w:line="240" w:lineRule="auto"/>
              <w:ind w:left="40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40" w:right="0" w:firstLine="0"/>
              <w:jc w:val="left"/>
            </w:pPr>
            <w:r>
              <w:rPr>
                <w:b/>
                <w:color w:val="FF0000"/>
                <w:sz w:val="13"/>
              </w:rPr>
              <w:t xml:space="preserve"> </w:t>
            </w:r>
          </w:p>
        </w:tc>
      </w:tr>
      <w:tr w:rsidR="0068314A">
        <w:trPr>
          <w:trHeight w:val="505"/>
        </w:trPr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4A" w:rsidRDefault="00AA6E62">
            <w:pPr>
              <w:spacing w:after="0" w:line="276" w:lineRule="auto"/>
              <w:ind w:left="322" w:right="0" w:firstLine="0"/>
              <w:jc w:val="left"/>
            </w:pPr>
            <w:r>
              <w:rPr>
                <w:b/>
                <w:sz w:val="16"/>
              </w:rPr>
              <w:t xml:space="preserve">I.II Implementação dos macroprocessos (C) = (C6)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112" w:line="240" w:lineRule="auto"/>
              <w:ind w:left="40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4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8314A">
        <w:trPr>
          <w:trHeight w:val="92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76" w:lineRule="auto"/>
              <w:ind w:left="46" w:right="0" w:firstLine="0"/>
              <w:jc w:val="left"/>
            </w:pPr>
            <w:r>
              <w:rPr>
                <w:b/>
                <w:sz w:val="16"/>
              </w:rPr>
              <w:t xml:space="preserve">Macroprocesso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Cenário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Qtde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Processos (C0)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40" w:lineRule="auto"/>
              <w:ind w:left="61" w:right="0" w:firstLine="0"/>
              <w:jc w:val="left"/>
            </w:pPr>
            <w:r>
              <w:rPr>
                <w:b/>
                <w:sz w:val="16"/>
              </w:rPr>
              <w:t xml:space="preserve">Valor cenário </w:t>
            </w:r>
          </w:p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(R$)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(C1)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68314A" w:rsidRDefault="00AA6E62">
            <w:pPr>
              <w:spacing w:after="0" w:line="240" w:lineRule="auto"/>
              <w:ind w:left="76" w:right="0" w:firstLine="0"/>
              <w:jc w:val="left"/>
            </w:pPr>
            <w:r>
              <w:rPr>
                <w:b/>
                <w:sz w:val="16"/>
              </w:rPr>
              <w:t xml:space="preserve">Vl. Médio </w:t>
            </w:r>
          </w:p>
          <w:p w:rsidR="0068314A" w:rsidRDefault="00AA6E62">
            <w:pPr>
              <w:spacing w:after="0" w:line="240" w:lineRule="auto"/>
              <w:ind w:left="66" w:right="0" w:firstLine="0"/>
              <w:jc w:val="left"/>
            </w:pPr>
            <w:r>
              <w:rPr>
                <w:b/>
                <w:sz w:val="16"/>
              </w:rPr>
              <w:t xml:space="preserve">Processo </w:t>
            </w:r>
          </w:p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(R$)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(C2)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76" w:lineRule="auto"/>
              <w:ind w:left="42" w:right="0" w:firstLine="0"/>
              <w:jc w:val="center"/>
            </w:pPr>
            <w:r>
              <w:rPr>
                <w:b/>
                <w:sz w:val="16"/>
              </w:rPr>
              <w:t xml:space="preserve">Valor por Cenário a Receber (R$) (C3) </w:t>
            </w:r>
          </w:p>
        </w:tc>
      </w:tr>
      <w:tr w:rsidR="0068314A">
        <w:trPr>
          <w:trHeight w:val="77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Contabilidade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CNTB.CGE.010 - Planos de Contas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111" w:line="240" w:lineRule="auto"/>
              <w:ind w:left="2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6"/>
              </w:rPr>
              <w:t xml:space="preserve">  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85" w:line="240" w:lineRule="auto"/>
              <w:ind w:left="1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68314A" w:rsidRDefault="00AA6E62">
            <w:pPr>
              <w:spacing w:after="85" w:line="240" w:lineRule="auto"/>
              <w:ind w:left="1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Contabilidade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CNTB.CGE.020 -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Escrituração e Conciliação Contábil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Contabilidade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CNTB.CGE.030 - </w:t>
            </w:r>
          </w:p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Informações e </w:t>
            </w:r>
          </w:p>
          <w:p w:rsidR="0068314A" w:rsidRDefault="00AA6E62">
            <w:pPr>
              <w:spacing w:after="0" w:line="276" w:lineRule="auto"/>
              <w:ind w:left="70" w:right="0" w:firstLine="0"/>
              <w:jc w:val="left"/>
            </w:pPr>
            <w:r>
              <w:rPr>
                <w:sz w:val="16"/>
              </w:rPr>
              <w:t xml:space="preserve">Demonstrações Financeiras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23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Controladoria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34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COTD.COR.010 - CONTROLE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ORÇAMENTÁRIO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Controladoria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COTD.CTG.010 -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GERENCIAMENTO DE DESPESAS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6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Controladoria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COTD.CTG.020 -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CONTABILIDADE GERENCIAL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Controladoria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31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COTD.POR.010 PLANEJAMENTO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ORÇAMENTÁRIO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40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Gestão de Pessoas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22" w:right="0" w:firstLine="0"/>
              <w:jc w:val="left"/>
            </w:pPr>
            <w:r>
              <w:rPr>
                <w:sz w:val="16"/>
              </w:rPr>
              <w:t xml:space="preserve">RHMN.BEN.010 – Benefícios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Gestão de Pessoas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85" w:right="0" w:firstLine="0"/>
              <w:jc w:val="left"/>
            </w:pPr>
            <w:r>
              <w:rPr>
                <w:sz w:val="16"/>
              </w:rPr>
              <w:t xml:space="preserve">RHMN.CDR.010 – Controle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Disciplinar e Recursos Administrat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40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Gestão de Pessoas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39" w:right="0" w:firstLine="0"/>
              <w:jc w:val="left"/>
            </w:pPr>
            <w:r>
              <w:rPr>
                <w:sz w:val="16"/>
              </w:rPr>
              <w:t xml:space="preserve">RHMN.CON.010 – Concurso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Público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40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Gestão de Pessoas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RHMN.FPG.010 – Folha de Pagamento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40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Gestão de Pessoas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1" w:right="0" w:firstLine="0"/>
              <w:jc w:val="center"/>
            </w:pPr>
            <w:r>
              <w:rPr>
                <w:sz w:val="16"/>
              </w:rPr>
              <w:t xml:space="preserve">RHMN.MSG.010 – Medicina e Segurança do Trabalho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Gestão de Pessoas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RHMN.PCP.010 –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Planejamento de Custo de Pessoal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40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Gestão de Pessoas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RHMN.PEL.010 – Gestão de Tempos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40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Gestão de Pessoas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RHMN.REM.010 – Remuneração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Gestão de Pessoas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RHMN.SMP.010 – </w:t>
            </w:r>
          </w:p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Suprimento e 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Movimentação de Pessoal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17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7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Gestão de Pessoas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RHMN.SMP.010 – </w:t>
            </w:r>
          </w:p>
          <w:p w:rsidR="0068314A" w:rsidRDefault="00AA6E62">
            <w:pPr>
              <w:spacing w:after="0" w:line="231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Suprimento e Movimentação de Pessoal/Estrutura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Organizacional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40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Gestão de Pessoas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RHMN.VIA.010 – Viagem Corporativa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Gestão de Segurança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SCOR.SIN.010 - Gerir Segregação de Funções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7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Gestão de Segurança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0" w:right="0" w:hanging="10"/>
              <w:jc w:val="center"/>
            </w:pPr>
            <w:r>
              <w:rPr>
                <w:sz w:val="16"/>
              </w:rPr>
              <w:t xml:space="preserve">SCOR.SIN.020 - Revisar acessos e garantir conformidade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Gestão de Segurança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1" w:right="0" w:firstLine="0"/>
              <w:jc w:val="center"/>
            </w:pPr>
            <w:r>
              <w:rPr>
                <w:sz w:val="16"/>
              </w:rPr>
              <w:t xml:space="preserve">SCOR.SIN.030 - Administrar e Controlar Identidades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Logístico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GLSP.ABM.010 - Aquisição de Bens, Serviços e Materiais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7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Logístico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GLSP.AFX.010 - Gestão de Ativo Fixo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Logístico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GLSP.CPG.010 - Contas a Pagar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Logístico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GLSP.CTT.010 - Gestão de Contratos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7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Logístico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GLSP.ENT.010 - Entidades Externas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Logístico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GLSP.EST.010 -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Administração de Estoque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19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Logístico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GLSP.MAN.010 -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383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4" w:right="0" w:firstLine="0"/>
              <w:jc w:val="center"/>
            </w:pPr>
            <w:r>
              <w:rPr>
                <w:sz w:val="16"/>
              </w:rPr>
              <w:t xml:space="preserve">Administração da Manutenção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314A">
        <w:trPr>
          <w:trHeight w:val="57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Planejamento Empresarial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PEMP.PEO.010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Planejamento Estratégico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Planejamento Empresarial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40" w:lineRule="auto"/>
              <w:ind w:left="10" w:right="0" w:firstLine="0"/>
            </w:pPr>
            <w:r>
              <w:rPr>
                <w:sz w:val="16"/>
              </w:rPr>
              <w:t xml:space="preserve">PEMP.PRA.020 Programa de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Ação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Planejamento Empresarial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40" w:lineRule="auto"/>
              <w:ind w:left="94" w:right="0" w:firstLine="0"/>
              <w:jc w:val="left"/>
            </w:pPr>
            <w:r>
              <w:rPr>
                <w:sz w:val="16"/>
              </w:rPr>
              <w:t xml:space="preserve">PEMP.PRO.010 Gestão de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Portfólio de Projetos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7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Planejamento Empresarial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40" w:lineRule="auto"/>
              <w:ind w:left="46" w:right="0" w:firstLine="0"/>
              <w:jc w:val="left"/>
            </w:pPr>
            <w:r>
              <w:rPr>
                <w:sz w:val="16"/>
              </w:rPr>
              <w:t xml:space="preserve">PEMP.PRO.040 - Gestão de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Projetos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Planejamento Empresarial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63" w:right="0" w:firstLine="0"/>
              <w:jc w:val="left"/>
            </w:pPr>
            <w:r>
              <w:rPr>
                <w:sz w:val="16"/>
              </w:rPr>
              <w:t xml:space="preserve">PEMP.PRO.050 - Execução </w:t>
            </w:r>
          </w:p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&amp;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Controle de Projetos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5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lastRenderedPageBreak/>
              <w:t xml:space="preserve">Planejamento Empresarial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PEMP.PRO.060 -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Encerramento de Projetos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14A">
        <w:trPr>
          <w:trHeight w:val="4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555" w:right="0" w:firstLine="0"/>
              <w:jc w:val="left"/>
            </w:pPr>
            <w:r>
              <w:rPr>
                <w:b/>
                <w:sz w:val="16"/>
              </w:rPr>
              <w:t xml:space="preserve">Valor total de todos os Cenários: (C4)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108" w:line="240" w:lineRule="auto"/>
              <w:ind w:left="0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68314A">
        <w:trPr>
          <w:trHeight w:val="5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245" w:right="0" w:firstLine="0"/>
              <w:jc w:val="left"/>
            </w:pPr>
            <w:r>
              <w:rPr>
                <w:b/>
                <w:sz w:val="16"/>
              </w:rPr>
              <w:t>Serviço de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b/>
                <w:i/>
                <w:sz w:val="16"/>
              </w:rPr>
              <w:t>Change Requests</w:t>
            </w:r>
            <w:r>
              <w:rPr>
                <w:b/>
                <w:sz w:val="16"/>
              </w:rPr>
              <w:t xml:space="preserve">  (C5) = (C4)*0,20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68314A">
        <w:trPr>
          <w:trHeight w:val="57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745" w:right="0" w:firstLine="0"/>
              <w:jc w:val="left"/>
            </w:pPr>
            <w:r>
              <w:rPr>
                <w:b/>
                <w:sz w:val="16"/>
              </w:rPr>
              <w:t xml:space="preserve">VALOR TOTAL (C6) = (C4) + (C5)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85" w:line="240" w:lineRule="auto"/>
              <w:ind w:left="0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</w:tc>
      </w:tr>
    </w:tbl>
    <w:p w:rsidR="0068314A" w:rsidRDefault="00AA6E62">
      <w:pPr>
        <w:numPr>
          <w:ilvl w:val="0"/>
          <w:numId w:val="1"/>
        </w:numPr>
        <w:ind w:hanging="324"/>
      </w:pPr>
      <w:r>
        <w:t xml:space="preserve">O preço do serviço de planejamento do projeto deve prever as atividades de planejamento contidas no ANEXO III – SERVIÇOS DE IMPLEMENTAÇÃO DA SOLUÇÃO e no ANEXO XX – ETAPAS E ENTREGAS DA IMPLEMENTAÇÃO DA SOLUÇÃO.  </w:t>
      </w:r>
    </w:p>
    <w:p w:rsidR="0068314A" w:rsidRDefault="00AA6E62">
      <w:pPr>
        <w:numPr>
          <w:ilvl w:val="0"/>
          <w:numId w:val="1"/>
        </w:numPr>
        <w:ind w:hanging="324"/>
      </w:pPr>
      <w:r>
        <w:t>O valor da Implementação dos macroprocessos deve levar em consideração a atualização do desenho funcional e técnico; a configuração, parametrização, customização e integração da SOLUÇÃO com os sistemas legados e entidades externas; o planejamento, a execuç</w:t>
      </w:r>
      <w:r>
        <w:t>ão e controle de testes; a migração dos dados dos sistemas legados; a elaboração e execução do plano de cutover (transição), a fase de gestão de mudança organizacional e os ajustes nos processos detalhados no ANEXO X – DECLARAÇÃO DO ESCOPO DE AJUSTES e o r</w:t>
      </w:r>
      <w:r>
        <w:t xml:space="preserve">esultado da avaliação da solução funcional e técnica existente. </w:t>
      </w:r>
    </w:p>
    <w:p w:rsidR="0068314A" w:rsidRDefault="00AA6E62">
      <w:pPr>
        <w:numPr>
          <w:ilvl w:val="0"/>
          <w:numId w:val="1"/>
        </w:numPr>
        <w:ind w:hanging="324"/>
      </w:pPr>
      <w:r>
        <w:t xml:space="preserve">Os valores das colunas C1, C2 e C3 devem ser transportados a partir do ANEXO VIII.a – PLANILHA DE PRECIFICAÇÃO DA IMPLEMENTAÇÃO. </w:t>
      </w:r>
      <w:r>
        <w:rPr>
          <w:b/>
        </w:rPr>
        <w:t>Esta planilha deve ser encaminhada junto a esta proposta de pr</w:t>
      </w:r>
      <w:r>
        <w:rPr>
          <w:b/>
        </w:rPr>
        <w:t>eço.</w:t>
      </w:r>
      <w:r>
        <w:t xml:space="preserve"> </w:t>
      </w:r>
    </w:p>
    <w:p w:rsidR="0068314A" w:rsidRDefault="00AA6E62">
      <w:pPr>
        <w:numPr>
          <w:ilvl w:val="0"/>
          <w:numId w:val="1"/>
        </w:numPr>
        <w:ind w:hanging="324"/>
      </w:pPr>
      <w:r>
        <w:t xml:space="preserve">Na célula C4, colocar o somatório dos valores por cenário a receber, coluna C3.   </w:t>
      </w:r>
    </w:p>
    <w:p w:rsidR="0068314A" w:rsidRDefault="00AA6E62">
      <w:pPr>
        <w:numPr>
          <w:ilvl w:val="0"/>
          <w:numId w:val="1"/>
        </w:numPr>
        <w:ind w:hanging="324"/>
      </w:pPr>
      <w:r>
        <w:t xml:space="preserve">Calcular verba disponível para serviços de </w:t>
      </w:r>
      <w:r>
        <w:rPr>
          <w:i/>
        </w:rPr>
        <w:t>change requests</w:t>
      </w:r>
      <w:r>
        <w:t xml:space="preserve"> conforme fórmula na célula C5. O desembolso desta verba ocorrerá de acordo com as instruções especificadas n</w:t>
      </w:r>
      <w:r>
        <w:t xml:space="preserve">o ANEXO III – SERVIÇOS DE IMPLEMENTAÇÃO DA SOLUÇÃO. Esta verba corresponde aos limites máximos que poderão ser utilizados durante os 36 meses da vigência do contrato e o BNB não se obriga a consumir este valor.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314A" w:rsidRDefault="00AA6E62">
      <w:pPr>
        <w:spacing w:after="12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618" w:type="dxa"/>
        <w:tblInd w:w="0" w:type="dxa"/>
        <w:tblCellMar>
          <w:top w:w="0" w:type="dxa"/>
          <w:left w:w="6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63"/>
        <w:gridCol w:w="1587"/>
        <w:gridCol w:w="141"/>
        <w:gridCol w:w="412"/>
        <w:gridCol w:w="989"/>
        <w:gridCol w:w="526"/>
        <w:gridCol w:w="425"/>
        <w:gridCol w:w="423"/>
        <w:gridCol w:w="426"/>
        <w:gridCol w:w="171"/>
        <w:gridCol w:w="257"/>
        <w:gridCol w:w="421"/>
        <w:gridCol w:w="656"/>
        <w:gridCol w:w="899"/>
        <w:gridCol w:w="676"/>
        <w:gridCol w:w="143"/>
        <w:gridCol w:w="140"/>
        <w:gridCol w:w="163"/>
      </w:tblGrid>
      <w:tr w:rsidR="0068314A">
        <w:trPr>
          <w:trHeight w:val="614"/>
        </w:trPr>
        <w:tc>
          <w:tcPr>
            <w:tcW w:w="66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323" w:right="0" w:hanging="283"/>
              <w:jc w:val="left"/>
            </w:pPr>
            <w:r>
              <w:rPr>
                <w:sz w:val="20"/>
              </w:rPr>
              <w:t xml:space="preserve">II. </w:t>
            </w:r>
            <w:r>
              <w:rPr>
                <w:b/>
                <w:sz w:val="20"/>
              </w:rPr>
              <w:t>Treinamento e Transferência de Conhecimento para equipe do BANCO = (D) = (D4)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117" w:line="240" w:lineRule="auto"/>
              <w:ind w:left="37" w:right="0" w:firstLine="0"/>
              <w:jc w:val="left"/>
            </w:pPr>
            <w:r>
              <w:rPr>
                <w:b/>
                <w:sz w:val="14"/>
              </w:rPr>
              <w:t xml:space="preserve">(D)=(D4) </w:t>
            </w:r>
          </w:p>
          <w:p w:rsidR="0068314A" w:rsidRDefault="00AA6E62">
            <w:pPr>
              <w:spacing w:after="0" w:line="276" w:lineRule="auto"/>
              <w:ind w:left="3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8314A">
        <w:trPr>
          <w:trHeight w:val="498"/>
        </w:trPr>
        <w:tc>
          <w:tcPr>
            <w:tcW w:w="86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73" w:right="2407" w:firstLine="250"/>
              <w:jc w:val="left"/>
            </w:pPr>
            <w:r>
              <w:rPr>
                <w:sz w:val="16"/>
              </w:rPr>
              <w:t xml:space="preserve"> Composição dos serviços de treinamento e transferência de conhecimento (Item II)</w:t>
            </w:r>
            <w:r>
              <w:rPr>
                <w:sz w:val="20"/>
              </w:rPr>
              <w:t xml:space="preserve"> </w:t>
            </w:r>
          </w:p>
        </w:tc>
      </w:tr>
      <w:tr w:rsidR="0068314A">
        <w:trPr>
          <w:trHeight w:val="636"/>
        </w:trPr>
        <w:tc>
          <w:tcPr>
            <w:tcW w:w="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Tipo 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Qtde Hora-aula (D1)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76" w:lineRule="auto"/>
              <w:ind w:left="74" w:right="0" w:firstLine="0"/>
              <w:jc w:val="center"/>
            </w:pPr>
            <w:r>
              <w:rPr>
                <w:b/>
                <w:sz w:val="16"/>
              </w:rPr>
              <w:t xml:space="preserve">Valor unitário (R$) (D2)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76" w:lineRule="auto"/>
              <w:ind w:left="189" w:right="100" w:firstLine="0"/>
              <w:jc w:val="center"/>
            </w:pPr>
            <w:r>
              <w:rPr>
                <w:b/>
                <w:sz w:val="16"/>
              </w:rPr>
              <w:t xml:space="preserve">Valor por Ti po (R$) (D3) = (D1) * (D2) </w:t>
            </w:r>
          </w:p>
        </w:tc>
        <w:tc>
          <w:tcPr>
            <w:tcW w:w="107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200" w:line="240" w:lineRule="auto"/>
              <w:ind w:left="550" w:right="0" w:firstLine="0"/>
              <w:jc w:val="left"/>
            </w:pPr>
            <w:r>
              <w:t xml:space="preserve">de </w:t>
            </w:r>
          </w:p>
          <w:p w:rsidR="0068314A" w:rsidRDefault="00AA6E62">
            <w:pPr>
              <w:spacing w:after="0" w:line="276" w:lineRule="auto"/>
              <w:ind w:left="308" w:right="0" w:firstLine="0"/>
              <w:jc w:val="left"/>
            </w:pPr>
            <w:r>
              <w:t xml:space="preserve">. Nos </w:t>
            </w:r>
          </w:p>
        </w:tc>
      </w:tr>
      <w:tr w:rsidR="0068314A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Treinamento 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111" w:line="240" w:lineRule="auto"/>
              <w:ind w:left="2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2.040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88" w:line="240" w:lineRule="auto"/>
              <w:ind w:left="1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68314A" w:rsidRDefault="00AA6E62">
            <w:pPr>
              <w:spacing w:after="111" w:line="240" w:lineRule="auto"/>
              <w:ind w:left="1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314A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Transferência de conhecimento 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240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314A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16"/>
              </w:rPr>
              <w:t xml:space="preserve"> </w:t>
            </w:r>
          </w:p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Valor total: (D4)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right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85" w:line="240" w:lineRule="auto"/>
              <w:ind w:left="1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1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314A">
        <w:trPr>
          <w:trHeight w:val="1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4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314A" w:rsidRDefault="00AA6E62">
            <w:pPr>
              <w:spacing w:after="0" w:line="233" w:lineRule="auto"/>
              <w:ind w:left="286" w:right="0" w:hanging="274"/>
            </w:pPr>
            <w:r>
              <w:t xml:space="preserve">i. Informar o valor unitário da hora-aula para treinamento presencial e transferência conhecimento na coluna D2 considerando os requisitos relacionados a trein amentos descritos no </w:t>
            </w:r>
          </w:p>
          <w:p w:rsidR="0068314A" w:rsidRDefault="00AA6E62">
            <w:pPr>
              <w:spacing w:after="26" w:line="240" w:lineRule="auto"/>
              <w:ind w:left="0" w:right="0" w:firstLine="0"/>
              <w:jc w:val="center"/>
            </w:pPr>
            <w:r>
              <w:t>ANEXO IV – SERVIÇOS DE TREINAMENTO E TRANSFERÊNCIA DE C ONHECIMENTO</w:t>
            </w:r>
          </w:p>
          <w:p w:rsidR="0068314A" w:rsidRDefault="00AA6E62">
            <w:pPr>
              <w:spacing w:after="114"/>
              <w:ind w:left="286" w:right="0" w:firstLine="0"/>
            </w:pPr>
            <w:r>
              <w:t xml:space="preserve">preços unitários, considerar 102 turmas para o tipo “treinamento” e 12 turm as para “transferência de conhecimento”. </w:t>
            </w:r>
          </w:p>
          <w:p w:rsidR="0068314A" w:rsidRDefault="00AA6E62">
            <w:pPr>
              <w:spacing w:after="113" w:line="240" w:lineRule="auto"/>
              <w:ind w:left="286" w:right="0" w:firstLine="0"/>
              <w:jc w:val="left"/>
            </w:pPr>
            <w:r>
              <w:t xml:space="preserve">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314A">
        <w:trPr>
          <w:trHeight w:val="613"/>
        </w:trPr>
        <w:tc>
          <w:tcPr>
            <w:tcW w:w="66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40" w:right="0" w:firstLine="0"/>
              <w:jc w:val="left"/>
            </w:pPr>
            <w:r>
              <w:rPr>
                <w:sz w:val="20"/>
              </w:rPr>
              <w:lastRenderedPageBreak/>
              <w:t xml:space="preserve">III. </w:t>
            </w:r>
            <w:r>
              <w:rPr>
                <w:b/>
                <w:sz w:val="20"/>
              </w:rPr>
              <w:t>Serviços de suporte e manutenção de licenças SAP (E) = (E3)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line="240" w:lineRule="auto"/>
              <w:ind w:left="37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3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8314A">
        <w:trPr>
          <w:trHeight w:val="361"/>
        </w:trPr>
        <w:tc>
          <w:tcPr>
            <w:tcW w:w="86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4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8314A">
        <w:trPr>
          <w:trHeight w:val="907"/>
        </w:trPr>
        <w:tc>
          <w:tcPr>
            <w:tcW w:w="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76" w:lineRule="auto"/>
              <w:ind w:left="381" w:right="292" w:firstLine="0"/>
              <w:jc w:val="center"/>
            </w:pPr>
            <w:r>
              <w:rPr>
                <w:b/>
                <w:sz w:val="16"/>
              </w:rPr>
              <w:t xml:space="preserve">Valor 1º Ano (E1)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Valor demais anos </w:t>
            </w:r>
          </w:p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(R$)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(E2) </w:t>
            </w:r>
          </w:p>
        </w:tc>
        <w:tc>
          <w:tcPr>
            <w:tcW w:w="3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76" w:lineRule="auto"/>
              <w:ind w:left="1032" w:right="941" w:firstLine="0"/>
              <w:jc w:val="center"/>
            </w:pPr>
            <w:r>
              <w:rPr>
                <w:b/>
                <w:sz w:val="16"/>
              </w:rPr>
              <w:t xml:space="preserve">Valor Total (R$) (E3) = (E1) + (E2)  </w:t>
            </w:r>
          </w:p>
        </w:tc>
        <w:tc>
          <w:tcPr>
            <w:tcW w:w="2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314A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40" w:lineRule="auto"/>
              <w:ind w:left="46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68314A" w:rsidRDefault="00AA6E6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8314A" w:rsidRDefault="00AA6E62">
            <w:pPr>
              <w:spacing w:after="111" w:line="240" w:lineRule="auto"/>
              <w:ind w:left="0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3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314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5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314A" w:rsidRDefault="00AA6E62">
            <w:pPr>
              <w:spacing w:after="0" w:line="276" w:lineRule="auto"/>
              <w:ind w:left="353" w:right="0" w:hanging="233"/>
            </w:pPr>
            <w:r>
              <w:t xml:space="preserve">i. O valor do 1º ano dos serviços de suporte e manutenção de licenças, coluna E1 , corresponde ao valor para reativar todas as licenças contratadas pelo Banco, que deve estar em consonância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314A">
        <w:trPr>
          <w:trHeight w:val="2256"/>
        </w:trPr>
        <w:tc>
          <w:tcPr>
            <w:tcW w:w="86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114" w:line="234" w:lineRule="auto"/>
              <w:ind w:left="430" w:right="113" w:firstLine="0"/>
            </w:pPr>
            <w:r>
              <w:t>com o detalhamento de preço por licença a ser informado no ANEXO VIII.c – DETALHAMENTO DE PREÇO DOS SERVIÇOS DE SUPORTE E MANUTENÇÃO DE LICENÇAS SAP. Além disso, este valor permitirá os serviços de suporte e manutenção de licenças por um período de 12 mese</w:t>
            </w:r>
            <w:r>
              <w:t xml:space="preserve">s contados a partir da assinatura do contrato. </w:t>
            </w:r>
          </w:p>
          <w:p w:rsidR="0068314A" w:rsidRDefault="00AA6E62">
            <w:pPr>
              <w:spacing w:after="113" w:line="234" w:lineRule="auto"/>
              <w:ind w:left="430" w:right="113" w:hanging="274"/>
            </w:pPr>
            <w:r>
              <w:t>ii. Informar na coluna E2 o valor a ser utilizado nas próximas atualizações anuais das licenças, que deve estar em consonância com o detalhamento de preço por licença a ser informado no ANEXO VIII.c – DETALHA</w:t>
            </w:r>
            <w:r>
              <w:t xml:space="preserve">MENTO DE PREÇO DOS SERVIÇOS DE SUPORTE E MANUTENÇÃO DE LICENÇAS SAP. </w:t>
            </w:r>
          </w:p>
          <w:p w:rsidR="0068314A" w:rsidRDefault="00AA6E6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8314A">
        <w:trPr>
          <w:trHeight w:val="360"/>
        </w:trPr>
        <w:tc>
          <w:tcPr>
            <w:tcW w:w="66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0"/>
              </w:rPr>
              <w:t xml:space="preserve">IV. </w:t>
            </w:r>
            <w:r>
              <w:rPr>
                <w:b/>
                <w:sz w:val="20"/>
              </w:rPr>
              <w:t>Serviços de manutenção e desenvolvimento (F) = (F4)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8314A">
        <w:trPr>
          <w:trHeight w:val="361"/>
        </w:trPr>
        <w:tc>
          <w:tcPr>
            <w:tcW w:w="86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8314A">
        <w:trPr>
          <w:trHeight w:val="608"/>
        </w:trPr>
        <w:tc>
          <w:tcPr>
            <w:tcW w:w="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Qtde UST  </w:t>
            </w:r>
          </w:p>
          <w:p w:rsidR="0068314A" w:rsidRDefault="00AA6E62">
            <w:pPr>
              <w:spacing w:after="0" w:line="276" w:lineRule="auto"/>
              <w:ind w:left="409" w:right="384" w:firstLine="0"/>
              <w:jc w:val="center"/>
            </w:pPr>
            <w:r>
              <w:rPr>
                <w:b/>
                <w:sz w:val="16"/>
              </w:rPr>
              <w:t xml:space="preserve">(36 meses) (F1)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Qtde UST / ano (F2) 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Valor UST (R$) (F3) 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76" w:lineRule="auto"/>
              <w:ind w:left="715" w:right="687" w:firstLine="0"/>
              <w:jc w:val="center"/>
            </w:pPr>
            <w:r>
              <w:rPr>
                <w:b/>
                <w:sz w:val="16"/>
              </w:rPr>
              <w:t xml:space="preserve">Valor Total (R$) (F4) = (F1) * (F3) </w:t>
            </w:r>
          </w:p>
        </w:tc>
        <w:tc>
          <w:tcPr>
            <w:tcW w:w="39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nas </w:t>
            </w:r>
          </w:p>
        </w:tc>
      </w:tr>
      <w:tr w:rsidR="0068314A">
        <w:trPr>
          <w:trHeight w:val="4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7.000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3.000 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530" w:right="505" w:firstLine="0"/>
            </w:pPr>
            <w:r>
              <w:rPr>
                <w:b/>
                <w:sz w:val="1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314A">
        <w:trPr>
          <w:trHeight w:val="30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10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314A" w:rsidRDefault="00AA6E62">
            <w:pPr>
              <w:spacing w:after="112" w:line="279" w:lineRule="auto"/>
              <w:ind w:left="67" w:right="0" w:hanging="67"/>
            </w:pPr>
            <w:r>
              <w:t>i. Informar na coluna F3 o valor da Unidade de Serviço Técnica (UST) a ser utilizado para pagamentos dos serviços de manutenção e desenvolvimento de softwares descritos no ANEXO VII – SERVIÇOS DE MANUTENÇÃO EVOLUTIVA. ii. Na coluna F1 corresponde ao volume</w:t>
            </w:r>
            <w:r>
              <w:t xml:space="preserve"> a ser utilizado durante os 36 meses do contrato. </w:t>
            </w:r>
          </w:p>
          <w:p w:rsidR="0068314A" w:rsidRDefault="00AA6E62">
            <w:pPr>
              <w:numPr>
                <w:ilvl w:val="0"/>
                <w:numId w:val="5"/>
              </w:numPr>
              <w:spacing w:after="114" w:line="235" w:lineRule="auto"/>
              <w:ind w:right="0" w:hanging="324"/>
              <w:jc w:val="left"/>
            </w:pPr>
            <w:r>
              <w:t>Está descrito na coluna F2 o volume, em UST, que será acrescido a cada r enovação do contrato, isto, é após os 36 meses iniciais. Como este volume somente fará parte do contrato renovações contratuais, não será contabilizado financeiramente para seleção do</w:t>
            </w:r>
            <w:r>
              <w:t xml:space="preserve"> fornecedor. </w:t>
            </w:r>
          </w:p>
          <w:p w:rsidR="0068314A" w:rsidRDefault="00AA6E62">
            <w:pPr>
              <w:numPr>
                <w:ilvl w:val="0"/>
                <w:numId w:val="5"/>
              </w:numPr>
              <w:spacing w:after="116" w:line="233" w:lineRule="auto"/>
              <w:ind w:right="0" w:hanging="324"/>
              <w:jc w:val="left"/>
            </w:pPr>
            <w:r>
              <w:t xml:space="preserve">Os volumes em UST correspondem aos limites máximos que poderão ser utilizados. O BNB NÂO se obriga a consumir estes volumes máximos. </w:t>
            </w:r>
          </w:p>
          <w:p w:rsidR="0068314A" w:rsidRDefault="00AA6E62">
            <w:pPr>
              <w:spacing w:after="114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314A">
        <w:trPr>
          <w:trHeight w:val="360"/>
        </w:trPr>
        <w:tc>
          <w:tcPr>
            <w:tcW w:w="66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0"/>
              </w:rPr>
              <w:t xml:space="preserve">V. </w:t>
            </w:r>
            <w:r>
              <w:rPr>
                <w:b/>
                <w:sz w:val="20"/>
              </w:rPr>
              <w:t>Serviços de suporte técnico (G) = (G4)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8314A">
        <w:trPr>
          <w:trHeight w:val="361"/>
        </w:trPr>
        <w:tc>
          <w:tcPr>
            <w:tcW w:w="86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8314A">
        <w:trPr>
          <w:trHeight w:val="607"/>
        </w:trPr>
        <w:tc>
          <w:tcPr>
            <w:tcW w:w="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314A" w:rsidRDefault="00AA6E62">
            <w:pPr>
              <w:spacing w:after="0" w:line="234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Qtde Hora-Atividade  (36 meses)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(G1)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314A" w:rsidRDefault="00AA6E62">
            <w:pPr>
              <w:spacing w:after="0" w:line="234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Qtde Hora-Atividade / ano  (12 meses)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(G2) 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>Valor Hora-</w:t>
            </w:r>
          </w:p>
          <w:p w:rsidR="0068314A" w:rsidRDefault="00AA6E62">
            <w:pPr>
              <w:spacing w:after="0" w:line="276" w:lineRule="auto"/>
              <w:ind w:left="46" w:right="21" w:firstLine="0"/>
              <w:jc w:val="center"/>
            </w:pPr>
            <w:r>
              <w:rPr>
                <w:b/>
                <w:sz w:val="16"/>
              </w:rPr>
              <w:t xml:space="preserve">Atividade (R$) (G3) 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8314A" w:rsidRDefault="00AA6E62">
            <w:pPr>
              <w:spacing w:after="0" w:line="276" w:lineRule="auto"/>
              <w:ind w:left="419" w:right="388" w:firstLine="0"/>
              <w:jc w:val="center"/>
            </w:pPr>
            <w:r>
              <w:rPr>
                <w:b/>
                <w:sz w:val="16"/>
              </w:rPr>
              <w:t xml:space="preserve">Valor Total (R$) (G4) = (G1) * (G3) 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314A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49.560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48.480 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744" w:right="719" w:firstLine="0"/>
            </w:pPr>
            <w:r>
              <w:rPr>
                <w:b/>
                <w:sz w:val="1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314A">
        <w:trPr>
          <w:trHeight w:val="30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39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314A" w:rsidRDefault="00AA6E62">
            <w:pPr>
              <w:numPr>
                <w:ilvl w:val="0"/>
                <w:numId w:val="6"/>
              </w:numPr>
              <w:spacing w:after="114" w:line="233" w:lineRule="auto"/>
              <w:ind w:right="0" w:hanging="365"/>
            </w:pPr>
            <w:r>
              <w:t xml:space="preserve">O volume especificado na coluna G1 corresponde ao volume total de horas a partir do volume mensal dos processos e levando em consideração o plano de implementação das entregas. </w:t>
            </w:r>
          </w:p>
          <w:p w:rsidR="0068314A" w:rsidRDefault="00AA6E62">
            <w:pPr>
              <w:numPr>
                <w:ilvl w:val="0"/>
                <w:numId w:val="6"/>
              </w:numPr>
              <w:spacing w:after="114" w:line="235" w:lineRule="auto"/>
              <w:ind w:right="0" w:hanging="365"/>
            </w:pPr>
            <w:r>
              <w:t>Está descrito na coluna G2 o volume, em Hora-Atividade, que será acrescido a c</w:t>
            </w:r>
            <w:r>
              <w:t xml:space="preserve">ada renovação do contrato, isto é, após os 36 meses iniciais. Como este volume somente fará parte do contrato nas renovações contratuais, não será contabilizado financeiramente para seleção do fornecedor. </w:t>
            </w:r>
          </w:p>
          <w:p w:rsidR="0068314A" w:rsidRDefault="00AA6E62">
            <w:pPr>
              <w:numPr>
                <w:ilvl w:val="0"/>
                <w:numId w:val="6"/>
              </w:numPr>
              <w:spacing w:after="117" w:line="233" w:lineRule="auto"/>
              <w:ind w:right="0" w:hanging="365"/>
            </w:pPr>
            <w:r>
              <w:t xml:space="preserve">Informar na coluna G3 o valor da Hora-Atividade a ser utilizada para pagamentos dos serviços de suporte técnico, descritos no ANEXO VI – SERVIÇOS DE SUPORTE TÉCNICO. </w:t>
            </w:r>
          </w:p>
          <w:p w:rsidR="0068314A" w:rsidRDefault="00AA6E62">
            <w:pPr>
              <w:numPr>
                <w:ilvl w:val="0"/>
                <w:numId w:val="6"/>
              </w:numPr>
              <w:spacing w:after="113" w:line="233" w:lineRule="auto"/>
              <w:ind w:right="0" w:hanging="365"/>
            </w:pPr>
            <w:r>
              <w:t>Os volumes em horas-atividade correspondem aos limites máximos que poderão ser utilizados</w:t>
            </w:r>
            <w:r>
              <w:t xml:space="preserve">. O BANCO NÂO se obriga a consumir estes volumes máximos. </w:t>
            </w:r>
          </w:p>
          <w:p w:rsidR="0068314A" w:rsidRDefault="00AA6E62">
            <w:pPr>
              <w:spacing w:after="116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314A">
        <w:trPr>
          <w:trHeight w:val="360"/>
        </w:trPr>
        <w:tc>
          <w:tcPr>
            <w:tcW w:w="55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758" w:right="0" w:firstLine="0"/>
              <w:jc w:val="left"/>
            </w:pPr>
            <w:r>
              <w:rPr>
                <w:b/>
                <w:sz w:val="20"/>
              </w:rPr>
              <w:t>Preço global</w:t>
            </w:r>
            <w:r>
              <w:rPr>
                <w:sz w:val="20"/>
              </w:rPr>
              <w:t xml:space="preserve">: (H) = (A) + (D) + (E) + (F) + (G)  </w:t>
            </w:r>
          </w:p>
        </w:tc>
        <w:tc>
          <w:tcPr>
            <w:tcW w:w="3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68314A" w:rsidRDefault="00AA6E62">
      <w:pPr>
        <w:spacing w:after="0" w:line="240" w:lineRule="auto"/>
        <w:ind w:left="1690" w:right="0" w:firstLine="0"/>
        <w:jc w:val="left"/>
      </w:pPr>
      <w:r>
        <w:rPr>
          <w:sz w:val="20"/>
        </w:rPr>
        <w:t xml:space="preserve"> </w:t>
      </w:r>
    </w:p>
    <w:p w:rsidR="0068314A" w:rsidRDefault="00AA6E62">
      <w:pPr>
        <w:numPr>
          <w:ilvl w:val="0"/>
          <w:numId w:val="2"/>
        </w:numPr>
        <w:ind w:hanging="274"/>
      </w:pPr>
      <w:r>
        <w:t xml:space="preserve">O </w:t>
      </w:r>
      <w:r>
        <w:rPr>
          <w:b/>
        </w:rPr>
        <w:t>Preço Global</w:t>
      </w:r>
      <w:r>
        <w:t xml:space="preserve"> indicado (H) é o valor que deve ser considerado no envio da proposta. </w:t>
      </w:r>
    </w:p>
    <w:p w:rsidR="0068314A" w:rsidRDefault="00AA6E62">
      <w:pPr>
        <w:numPr>
          <w:ilvl w:val="0"/>
          <w:numId w:val="2"/>
        </w:numPr>
        <w:ind w:hanging="274"/>
      </w:pPr>
      <w:r>
        <w:t>Nos valores, deverão estar inclusas todas as despesas necessárias à plena execução dos serviços, envolvendo: despesas com mão-de-obra administrativa, gerencial, técnica, especializada e de supervisão; impostos, encargos sociais e trabalhistas; contribuiçõe</w:t>
      </w:r>
      <w:r>
        <w:t>s previdenciárias, fiscais e comerciais; despesas, taxas e obrigações financeiras de qualquer natureza; viagens / deslocamentos, diárias / alimentação / estadas, horas trabalhadas extraexpediente, plantões, feriados locais, vale alimentação, vale transport</w:t>
      </w:r>
      <w:r>
        <w:t>e, telefone celular e quaisquer outras vantagens pagas aos empregados; despesas, taxas administrativas, emolumentos, prêmios de seguros, material de consumo e todas as demais obrigações e despesas diretas ou indiretas, outras previstas em Lei, enfim, todos</w:t>
      </w:r>
      <w:r>
        <w:t xml:space="preserve"> os componentes de custo dos serviços, inclusive o lucro; os custos de todos os profissionais envolvidos na realização dos serviços. </w:t>
      </w:r>
    </w:p>
    <w:p w:rsidR="0068314A" w:rsidRDefault="00AA6E62">
      <w:pPr>
        <w:spacing w:after="111" w:line="240" w:lineRule="auto"/>
        <w:ind w:left="427" w:right="0" w:firstLine="0"/>
        <w:jc w:val="left"/>
      </w:pPr>
      <w:r>
        <w:t xml:space="preserve">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68314A" w:rsidRDefault="00AA6E62">
      <w:pPr>
        <w:numPr>
          <w:ilvl w:val="0"/>
          <w:numId w:val="3"/>
        </w:numPr>
        <w:spacing w:after="117"/>
        <w:ind w:right="-15" w:hanging="221"/>
      </w:pPr>
      <w:r>
        <w:rPr>
          <w:b/>
          <w:sz w:val="20"/>
        </w:rPr>
        <w:t>Declaramos que esta proposta corresponde exatamente às exigências contidas no Edital e seus Anexos, às quais aderimo</w:t>
      </w:r>
      <w:r>
        <w:rPr>
          <w:b/>
          <w:sz w:val="20"/>
        </w:rPr>
        <w:t xml:space="preserve">s formalmente. 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68314A" w:rsidRDefault="00AA6E62">
      <w:pPr>
        <w:numPr>
          <w:ilvl w:val="0"/>
          <w:numId w:val="3"/>
        </w:numPr>
        <w:spacing w:after="119"/>
        <w:ind w:right="-15" w:hanging="221"/>
      </w:pPr>
      <w:r>
        <w:rPr>
          <w:b/>
          <w:sz w:val="20"/>
        </w:rPr>
        <w:t xml:space="preserve">Dados da Empresa: </w:t>
      </w:r>
    </w:p>
    <w:p w:rsidR="0068314A" w:rsidRDefault="00AA6E62">
      <w:pPr>
        <w:spacing w:line="238" w:lineRule="auto"/>
        <w:ind w:left="-5" w:right="-15" w:hanging="1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Empresa: </w:t>
      </w:r>
    </w:p>
    <w:p w:rsidR="0068314A" w:rsidRDefault="00AA6E62">
      <w:pPr>
        <w:spacing w:line="238" w:lineRule="auto"/>
        <w:ind w:left="-5" w:right="-15" w:hanging="1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Razão Social: </w:t>
      </w:r>
    </w:p>
    <w:p w:rsidR="0068314A" w:rsidRDefault="00AA6E62">
      <w:pPr>
        <w:spacing w:line="238" w:lineRule="auto"/>
        <w:ind w:left="-5" w:right="-15" w:hanging="10"/>
        <w:jc w:val="left"/>
      </w:pPr>
      <w:r>
        <w:rPr>
          <w:sz w:val="20"/>
        </w:rPr>
        <w:t xml:space="preserve">        CNPJ/MF: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Tel/Fax: </w:t>
      </w:r>
    </w:p>
    <w:p w:rsidR="0068314A" w:rsidRDefault="00AA6E62">
      <w:pPr>
        <w:spacing w:line="238" w:lineRule="auto"/>
        <w:ind w:left="-5" w:right="-15" w:hanging="1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Endereço:  </w:t>
      </w:r>
      <w:r>
        <w:rPr>
          <w:sz w:val="20"/>
        </w:rPr>
        <w:tab/>
        <w:t xml:space="preserve">  CEP:  </w:t>
      </w:r>
      <w:r>
        <w:rPr>
          <w:sz w:val="20"/>
        </w:rPr>
        <w:tab/>
        <w:t xml:space="preserve">Cidade: </w:t>
      </w:r>
    </w:p>
    <w:p w:rsidR="0068314A" w:rsidRDefault="00AA6E62">
      <w:pPr>
        <w:spacing w:line="238" w:lineRule="auto"/>
        <w:ind w:left="-5" w:right="-15" w:hanging="1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UF: </w:t>
      </w:r>
    </w:p>
    <w:p w:rsidR="0068314A" w:rsidRDefault="00AA6E62">
      <w:pPr>
        <w:spacing w:line="238" w:lineRule="auto"/>
        <w:ind w:left="-5" w:right="-15" w:hanging="1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Endereço Eletrônico (e-mail): </w:t>
      </w:r>
    </w:p>
    <w:p w:rsidR="0068314A" w:rsidRDefault="00AA6E62">
      <w:pPr>
        <w:spacing w:after="0" w:line="240" w:lineRule="auto"/>
        <w:ind w:left="343" w:right="0" w:firstLine="0"/>
        <w:jc w:val="left"/>
      </w:pPr>
      <w:r>
        <w:rPr>
          <w:b/>
          <w:sz w:val="20"/>
        </w:rPr>
        <w:t xml:space="preserve"> </w:t>
      </w:r>
    </w:p>
    <w:p w:rsidR="0068314A" w:rsidRDefault="00AA6E62">
      <w:pPr>
        <w:spacing w:after="0" w:line="240" w:lineRule="auto"/>
        <w:ind w:left="343" w:right="0" w:firstLine="0"/>
        <w:jc w:val="left"/>
      </w:pPr>
      <w:r>
        <w:rPr>
          <w:b/>
          <w:sz w:val="20"/>
        </w:rPr>
        <w:t xml:space="preserve"> </w:t>
      </w:r>
    </w:p>
    <w:p w:rsidR="0068314A" w:rsidRDefault="00AA6E62">
      <w:pPr>
        <w:numPr>
          <w:ilvl w:val="0"/>
          <w:numId w:val="3"/>
        </w:numPr>
        <w:spacing w:after="119"/>
        <w:ind w:right="-15" w:hanging="221"/>
      </w:pPr>
      <w:r>
        <w:rPr>
          <w:b/>
          <w:sz w:val="20"/>
        </w:rPr>
        <w:t xml:space="preserve">Dados do Representante Legal, responsável pela assinatura do Contrato: </w:t>
      </w:r>
    </w:p>
    <w:p w:rsidR="0068314A" w:rsidRDefault="00AA6E62">
      <w:pPr>
        <w:spacing w:line="238" w:lineRule="auto"/>
        <w:ind w:left="437" w:right="-15" w:hanging="10"/>
        <w:jc w:val="left"/>
      </w:pPr>
      <w:r>
        <w:rPr>
          <w:sz w:val="20"/>
        </w:rPr>
        <w:t xml:space="preserve">Nome: </w:t>
      </w:r>
    </w:p>
    <w:p w:rsidR="0068314A" w:rsidRDefault="00AA6E62">
      <w:pPr>
        <w:spacing w:line="238" w:lineRule="auto"/>
        <w:ind w:left="437" w:right="-15" w:hanging="10"/>
        <w:jc w:val="left"/>
      </w:pPr>
      <w:r>
        <w:rPr>
          <w:sz w:val="20"/>
        </w:rPr>
        <w:t xml:space="preserve">Função: </w:t>
      </w:r>
    </w:p>
    <w:p w:rsidR="0068314A" w:rsidRDefault="00AA6E62">
      <w:pPr>
        <w:spacing w:line="238" w:lineRule="auto"/>
        <w:ind w:left="437" w:right="-15" w:hanging="10"/>
        <w:jc w:val="left"/>
      </w:pPr>
      <w:r>
        <w:rPr>
          <w:sz w:val="20"/>
        </w:rPr>
        <w:t xml:space="preserve">CPF: </w:t>
      </w:r>
    </w:p>
    <w:p w:rsidR="0068314A" w:rsidRDefault="00AA6E62">
      <w:pPr>
        <w:spacing w:line="238" w:lineRule="auto"/>
        <w:ind w:left="437" w:right="-15" w:hanging="10"/>
        <w:jc w:val="left"/>
      </w:pPr>
      <w:r>
        <w:rPr>
          <w:sz w:val="20"/>
        </w:rPr>
        <w:t xml:space="preserve">Telefone/Fax: </w:t>
      </w:r>
    </w:p>
    <w:p w:rsidR="0068314A" w:rsidRDefault="00AA6E62">
      <w:pPr>
        <w:spacing w:line="238" w:lineRule="auto"/>
        <w:ind w:left="437" w:right="-15" w:hanging="10"/>
        <w:jc w:val="left"/>
      </w:pPr>
      <w:r>
        <w:rPr>
          <w:sz w:val="20"/>
        </w:rPr>
        <w:lastRenderedPageBreak/>
        <w:t>Endereço Eletrônico (</w:t>
      </w:r>
      <w:r>
        <w:rPr>
          <w:i/>
          <w:sz w:val="20"/>
        </w:rPr>
        <w:t>e-mail):</w:t>
      </w:r>
      <w:r>
        <w:rPr>
          <w:sz w:val="20"/>
        </w:rPr>
        <w:t xml:space="preserve">  </w:t>
      </w:r>
    </w:p>
    <w:p w:rsidR="0068314A" w:rsidRDefault="00AA6E62">
      <w:pPr>
        <w:spacing w:after="116" w:line="240" w:lineRule="auto"/>
        <w:ind w:left="427" w:right="0" w:firstLine="0"/>
        <w:jc w:val="left"/>
      </w:pPr>
      <w:r>
        <w:rPr>
          <w:sz w:val="20"/>
        </w:rPr>
        <w:t xml:space="preserve"> </w:t>
      </w:r>
    </w:p>
    <w:p w:rsidR="0068314A" w:rsidRDefault="00AA6E62">
      <w:pPr>
        <w:spacing w:after="0" w:line="240" w:lineRule="auto"/>
        <w:ind w:left="427" w:right="0" w:firstLine="0"/>
        <w:jc w:val="left"/>
      </w:pPr>
      <w:r>
        <w:rPr>
          <w:sz w:val="20"/>
        </w:rPr>
        <w:t xml:space="preserve"> </w:t>
      </w:r>
    </w:p>
    <w:p w:rsidR="0068314A" w:rsidRDefault="00AA6E62">
      <w:pPr>
        <w:spacing w:after="0" w:line="238" w:lineRule="auto"/>
        <w:ind w:left="437" w:right="-15" w:hanging="10"/>
        <w:jc w:val="left"/>
      </w:pPr>
      <w:r>
        <w:rPr>
          <w:sz w:val="20"/>
        </w:rPr>
        <w:t xml:space="preserve">_________________________ </w:t>
      </w:r>
      <w:r>
        <w:rPr>
          <w:sz w:val="20"/>
        </w:rPr>
        <w:tab/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 </w:t>
      </w:r>
    </w:p>
    <w:p w:rsidR="0068314A" w:rsidRDefault="00AA6E62">
      <w:pPr>
        <w:spacing w:after="0" w:line="238" w:lineRule="auto"/>
        <w:ind w:left="437" w:right="-15" w:hanging="10"/>
        <w:jc w:val="left"/>
      </w:pPr>
      <w:r>
        <w:rPr>
          <w:sz w:val="20"/>
        </w:rPr>
        <w:t xml:space="preserve">Local e data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Assinatura do representante legal da empresa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68314A" w:rsidRDefault="00AA6E62">
      <w:pPr>
        <w:spacing w:after="0" w:line="240" w:lineRule="auto"/>
        <w:ind w:left="2086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314A" w:rsidRDefault="00AA6E62">
      <w:pPr>
        <w:spacing w:after="0" w:line="240" w:lineRule="auto"/>
        <w:ind w:left="0" w:right="0" w:firstLine="0"/>
        <w:jc w:val="center"/>
      </w:pPr>
      <w:r>
        <w:rPr>
          <w:b/>
          <w:sz w:val="22"/>
        </w:rPr>
        <w:t xml:space="preserve">ANEXO VIII.b – Planilha de Cronograma Macro RFP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314A" w:rsidRDefault="00AA6E62">
      <w:pPr>
        <w:spacing w:after="0" w:line="238" w:lineRule="auto"/>
        <w:ind w:left="-5" w:right="-15" w:hanging="10"/>
        <w:jc w:val="left"/>
      </w:pPr>
      <w:r>
        <w:rPr>
          <w:sz w:val="20"/>
        </w:rPr>
        <w:t xml:space="preserve">Em consonância com todos os anexos, a Contratada deverá apresentar um cronograma macro anexo a proposta de preço conforme modelo disponibilizado em planilha eletrônica ANEXO VIII.b – PLANILHA DE CRONOGRAMA MACRO RFP.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br w:type="page"/>
      </w:r>
    </w:p>
    <w:p w:rsidR="0068314A" w:rsidRDefault="00AA6E62">
      <w:pPr>
        <w:spacing w:after="0"/>
        <w:ind w:left="-5" w:right="-15" w:hanging="10"/>
        <w:jc w:val="left"/>
      </w:pPr>
      <w:r>
        <w:rPr>
          <w:b/>
          <w:sz w:val="22"/>
        </w:rPr>
        <w:lastRenderedPageBreak/>
        <w:t>ANEXO VIII.c – Detalhamento de preç</w:t>
      </w:r>
      <w:r>
        <w:rPr>
          <w:b/>
          <w:sz w:val="22"/>
        </w:rPr>
        <w:t xml:space="preserve">o dos serviços de suporte e manutenção de licenças SAP </w:t>
      </w:r>
    </w:p>
    <w:p w:rsidR="0068314A" w:rsidRDefault="00AA6E62">
      <w:pPr>
        <w:spacing w:after="19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796" w:type="dxa"/>
        <w:tblInd w:w="-10" w:type="dxa"/>
        <w:tblCellMar>
          <w:top w:w="0" w:type="dxa"/>
          <w:left w:w="67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3474"/>
        <w:gridCol w:w="1317"/>
        <w:gridCol w:w="1191"/>
        <w:gridCol w:w="942"/>
        <w:gridCol w:w="930"/>
        <w:gridCol w:w="942"/>
      </w:tblGrid>
      <w:tr w:rsidR="0068314A">
        <w:trPr>
          <w:trHeight w:val="755"/>
        </w:trPr>
        <w:tc>
          <w:tcPr>
            <w:tcW w:w="3473" w:type="dxa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C4BC96"/>
            <w:vAlign w:val="center"/>
          </w:tcPr>
          <w:p w:rsidR="0068314A" w:rsidRDefault="00AA6E62">
            <w:pPr>
              <w:spacing w:after="0" w:line="276" w:lineRule="auto"/>
              <w:ind w:left="5" w:right="0" w:firstLine="0"/>
            </w:pPr>
            <w:r>
              <w:rPr>
                <w:b/>
              </w:rPr>
              <w:t xml:space="preserve">Produtos SAP Licenciados para o BNB </w:t>
            </w:r>
          </w:p>
        </w:tc>
        <w:tc>
          <w:tcPr>
            <w:tcW w:w="2508" w:type="dxa"/>
            <w:gridSpan w:val="2"/>
            <w:tcBorders>
              <w:top w:val="single" w:sz="8" w:space="0" w:color="C4BC96"/>
              <w:left w:val="single" w:sz="8" w:space="0" w:color="548DD4"/>
              <w:bottom w:val="single" w:sz="8" w:space="0" w:color="548DD4"/>
              <w:right w:val="nil"/>
            </w:tcBorders>
            <w:shd w:val="clear" w:color="auto" w:fill="C4BC96"/>
          </w:tcPr>
          <w:p w:rsidR="0068314A" w:rsidRDefault="00AA6E62">
            <w:pPr>
              <w:spacing w:after="0" w:line="276" w:lineRule="auto"/>
              <w:ind w:left="1275" w:right="0" w:firstLine="0"/>
              <w:jc w:val="left"/>
            </w:pPr>
            <w:r>
              <w:rPr>
                <w:b/>
              </w:rPr>
              <w:t xml:space="preserve">Licenças </w:t>
            </w:r>
          </w:p>
        </w:tc>
        <w:tc>
          <w:tcPr>
            <w:tcW w:w="942" w:type="dxa"/>
            <w:tcBorders>
              <w:top w:val="single" w:sz="8" w:space="0" w:color="C4BC96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C4BC96"/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C4BC96"/>
              <w:right w:val="single" w:sz="8" w:space="0" w:color="548DD4"/>
            </w:tcBorders>
            <w:shd w:val="clear" w:color="auto" w:fill="C4BC96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Valor 1º ano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C4BC96"/>
              <w:right w:val="single" w:sz="8" w:space="0" w:color="548DD4"/>
            </w:tcBorders>
            <w:shd w:val="clear" w:color="auto" w:fill="C4BC96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Valor demais anos </w:t>
            </w:r>
          </w:p>
        </w:tc>
      </w:tr>
      <w:tr w:rsidR="0068314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C4BC96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Métrica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C4BC96"/>
          </w:tcPr>
          <w:p w:rsidR="0068314A" w:rsidRDefault="00AA6E62">
            <w:pPr>
              <w:spacing w:after="0" w:line="276" w:lineRule="auto"/>
              <w:ind w:left="4" w:right="0" w:firstLine="0"/>
            </w:pPr>
            <w:r>
              <w:rPr>
                <w:b/>
              </w:rPr>
              <w:t xml:space="preserve">Contratadas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C4BC96"/>
          </w:tcPr>
          <w:p w:rsidR="0068314A" w:rsidRDefault="00AA6E62">
            <w:pPr>
              <w:spacing w:after="0" w:line="276" w:lineRule="auto"/>
              <w:ind w:left="97" w:right="0" w:firstLine="0"/>
              <w:jc w:val="left"/>
            </w:pPr>
            <w:r>
              <w:rPr>
                <w:b/>
              </w:rPr>
              <w:t xml:space="preserve">Projeto </w:t>
            </w:r>
          </w:p>
        </w:tc>
        <w:tc>
          <w:tcPr>
            <w:tcW w:w="930" w:type="dxa"/>
            <w:tcBorders>
              <w:top w:val="single" w:sz="8" w:space="0" w:color="C4BC96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C4BC96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(R$) </w:t>
            </w:r>
          </w:p>
        </w:tc>
        <w:tc>
          <w:tcPr>
            <w:tcW w:w="942" w:type="dxa"/>
            <w:tcBorders>
              <w:top w:val="single" w:sz="8" w:space="0" w:color="C4BC96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C4BC96"/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(R$) </w:t>
            </w:r>
          </w:p>
        </w:tc>
      </w:tr>
      <w:tr w:rsidR="0068314A">
        <w:trPr>
          <w:trHeight w:val="51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left"/>
            </w:pPr>
            <w:r>
              <w:t xml:space="preserve">7003015 - SAP Application Employee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User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8.072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156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left"/>
            </w:pPr>
            <w:r>
              <w:t xml:space="preserve">7003012 - SAP Application Professional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User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384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156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7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left"/>
            </w:pPr>
            <w:r>
              <w:t xml:space="preserve">7009024 - SAP NetWeaver Developer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User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4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7011635 - BA&amp;T SAP Disclosure </w:t>
            </w:r>
          </w:p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Management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rPr>
                <w:lang w:val="en-US"/>
              </w:rPr>
            </w:pPr>
            <w:r w:rsidRPr="007C55B7">
              <w:rPr>
                <w:lang w:val="en-US"/>
              </w:rPr>
              <w:t xml:space="preserve">7011625 - BA&amp;T SAP Business Planning </w:t>
            </w:r>
          </w:p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>&amp;</w:t>
            </w:r>
            <w:r w:rsidRPr="007C55B7">
              <w:rPr>
                <w:lang w:val="en-US"/>
              </w:rPr>
              <w:t xml:space="preserve"> Cons, vers f SAP NetWeaver (BPC)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20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1315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7009395 - SAP Procurement for PS </w:t>
            </w:r>
          </w:p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(SRM)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107" w:line="240" w:lineRule="auto"/>
              <w:ind w:left="53" w:right="0" w:firstLine="0"/>
              <w:jc w:val="left"/>
            </w:pPr>
            <w:r>
              <w:t xml:space="preserve">R$ 2.390.000 </w:t>
            </w:r>
          </w:p>
          <w:p w:rsidR="0068314A" w:rsidRDefault="00AA6E62">
            <w:pPr>
              <w:spacing w:after="0"/>
              <w:ind w:left="15" w:right="14" w:firstLine="0"/>
              <w:jc w:val="center"/>
            </w:pPr>
            <w:r>
              <w:t xml:space="preserve">(Orçamento de Dispêndios </w:t>
            </w:r>
          </w:p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t xml:space="preserve">para o Setor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Público)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1.000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20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4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 w:rsidRPr="007C55B7">
              <w:rPr>
                <w:lang w:val="en-US"/>
              </w:rPr>
              <w:t xml:space="preserve">7009035 - SAP RE Mgmt, Office, retail, ind. </w:t>
            </w:r>
            <w:r>
              <w:t xml:space="preserve">Prop. Mgmt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2201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7009524 - SAP Portfolio and Project </w:t>
            </w:r>
          </w:p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Management (SAP PPM) above 40 units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t xml:space="preserve">R$ </w:t>
            </w:r>
          </w:p>
          <w:p w:rsidR="0068314A" w:rsidRDefault="00AA6E62">
            <w:pPr>
              <w:spacing w:after="1266" w:line="240" w:lineRule="auto"/>
              <w:ind w:left="0" w:right="0" w:firstLine="0"/>
              <w:jc w:val="center"/>
            </w:pPr>
            <w:r>
              <w:t xml:space="preserve">59.750.000 </w:t>
            </w:r>
          </w:p>
          <w:p w:rsidR="0068314A" w:rsidRDefault="00AA6E62">
            <w:pPr>
              <w:spacing w:after="0" w:line="276" w:lineRule="auto"/>
              <w:ind w:left="15" w:right="14" w:firstLine="0"/>
              <w:jc w:val="center"/>
            </w:pPr>
            <w:r>
              <w:t xml:space="preserve">(Orçamento de Portfólio)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100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4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7011631 - BA&amp;T SAP Strategy </w:t>
            </w:r>
          </w:p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Management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20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7009028 - SAP E-Recruiting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Blocos de 500 posições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16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1241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7010168 - SAP EHS Management, health and safety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Blocos de 100 Empregados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80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754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7010520 - SAP Payroll Processing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40" w:lineRule="auto"/>
              <w:ind w:left="22" w:right="0" w:firstLine="0"/>
              <w:jc w:val="left"/>
            </w:pPr>
            <w:r>
              <w:t xml:space="preserve">Blocos de 500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Registros do tipo Master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16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7011483  - SAP Org Visualization by </w:t>
            </w:r>
          </w:p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Nakisa OrgChart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7.019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4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7011484  - SAP Org Visualization by </w:t>
            </w:r>
          </w:p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Nakisa Orgplan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lastRenderedPageBreak/>
              <w:t xml:space="preserve">7011485  - SAP Talent Vis By Nakisa -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Career Plan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7.019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4"/>
        </w:trPr>
        <w:tc>
          <w:tcPr>
            <w:tcW w:w="3473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7011487 - SAP Talent Vis By Nakisa -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Talent Plan </w:t>
            </w:r>
          </w:p>
        </w:tc>
        <w:tc>
          <w:tcPr>
            <w:tcW w:w="1317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942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930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7011619  - SAP Talent Vis By Nakisa -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Talent Viewing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754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7011620 - BA&amp;T SAP Access Control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33" w:lineRule="auto"/>
              <w:ind w:left="0" w:right="0" w:firstLine="0"/>
              <w:jc w:val="center"/>
            </w:pPr>
            <w:r>
              <w:t xml:space="preserve">Bloco de 100 Usuários </w:t>
            </w:r>
          </w:p>
          <w:p w:rsidR="0068314A" w:rsidRDefault="00AA6E62">
            <w:pPr>
              <w:spacing w:after="0" w:line="276" w:lineRule="auto"/>
              <w:ind w:left="91" w:right="0" w:firstLine="0"/>
              <w:jc w:val="left"/>
            </w:pPr>
            <w:r>
              <w:t xml:space="preserve">Monitorados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146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33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7011622 - BA&amp;T SAP Process Control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146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33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>7011623 - BA&amp;</w:t>
            </w:r>
            <w:r w:rsidRPr="007C55B7">
              <w:rPr>
                <w:lang w:val="en-US"/>
              </w:rPr>
              <w:t xml:space="preserve">T SAP Risk Management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146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1239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7011293 - BA&amp;T SAP BusinessObjects </w:t>
            </w:r>
          </w:p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BI Suite (CS)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t xml:space="preserve">Bloco de 25 </w:t>
            </w:r>
          </w:p>
          <w:p w:rsidR="0068314A" w:rsidRDefault="00AA6E62">
            <w:pPr>
              <w:spacing w:after="0" w:line="240" w:lineRule="auto"/>
              <w:ind w:left="0" w:right="0" w:firstLine="0"/>
              <w:jc w:val="center"/>
            </w:pPr>
            <w:r>
              <w:t xml:space="preserve">Sessões </w:t>
            </w:r>
          </w:p>
          <w:p w:rsidR="0068314A" w:rsidRDefault="00AA6E62">
            <w:pPr>
              <w:spacing w:after="0" w:line="276" w:lineRule="auto"/>
              <w:ind w:left="48" w:right="0" w:firstLine="0"/>
              <w:jc w:val="left"/>
            </w:pPr>
            <w:r>
              <w:t xml:space="preserve">Concorrentes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7011289 - SAP Business Analytics </w:t>
            </w:r>
          </w:p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Professional User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57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334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7009730 - SAP Business Expert User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59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left"/>
            </w:pPr>
            <w:r>
              <w:t xml:space="preserve">7003485 - SAP Enterprise Learning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Environment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Bloco de 500 alunos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16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7010413 - SAP Knowledge Accelerator for ERP: Accounts Payable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4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7010414 - SAP Knowledge Accelerator for ERP: Accounts Receivable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7010415 - SAP Knowledge Accelerator for ERP: Management Accounting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4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7010416 - SAP Knowledge Accelerator for ERP: Human Capital Management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7010418 - SAP Knowledge Accelerator for ERP: Purchasing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1721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7010795 - SAP Knowledge Accelerator for ERP: Navigator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7.019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4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7010796 - SAP Knowledge Accelerator for ERP: User Tips and Tricks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7.019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2441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7010797 - SAP Knowledge Accelerator for ERP: Cross-Application Time Sheet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150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4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lastRenderedPageBreak/>
              <w:t xml:space="preserve">7011740 - SAP Workforce Performance </w:t>
            </w:r>
          </w:p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Builder Producer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7011744 - SAP Workforce Performance </w:t>
            </w:r>
          </w:p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Builder Enterprise Edition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7.019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15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4"/>
        </w:trPr>
        <w:tc>
          <w:tcPr>
            <w:tcW w:w="3473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left"/>
            </w:pPr>
            <w:r>
              <w:t xml:space="preserve">7003655 - Solution Manager Enterprise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Edition </w:t>
            </w:r>
          </w:p>
        </w:tc>
        <w:tc>
          <w:tcPr>
            <w:tcW w:w="1317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- </w:t>
            </w:r>
          </w:p>
        </w:tc>
        <w:tc>
          <w:tcPr>
            <w:tcW w:w="1191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42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30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nil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33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7C55B7">
              <w:rPr>
                <w:lang w:val="en-US"/>
              </w:rPr>
              <w:t xml:space="preserve">7009556 - SAP Interact. Forms by Adobe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Usuário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7.019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4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7003233 - ERP Component for ERP </w:t>
            </w:r>
          </w:p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Package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-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33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7015920 – SAP Process orchestration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Cores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996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7011192 - SAP NetWeaver Identity </w:t>
            </w:r>
          </w:p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Management for Employees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left"/>
            </w:pPr>
            <w:r>
              <w:t xml:space="preserve">Blocos de 100 </w:t>
            </w:r>
          </w:p>
          <w:p w:rsidR="0068314A" w:rsidRDefault="00AA6E62">
            <w:pPr>
              <w:spacing w:after="0" w:line="233" w:lineRule="auto"/>
              <w:ind w:left="0" w:right="0" w:firstLine="0"/>
              <w:jc w:val="center"/>
            </w:pPr>
            <w:r>
              <w:t xml:space="preserve">Identificadores de Usuário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Interno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7.019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4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40" w:lineRule="auto"/>
              <w:ind w:left="0" w:right="0" w:firstLine="0"/>
              <w:jc w:val="left"/>
            </w:pPr>
            <w:r>
              <w:t xml:space="preserve">7015528 - SAP Application Interface </w:t>
            </w:r>
          </w:p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Framework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-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16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16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517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Pr="007C55B7" w:rsidRDefault="00AA6E62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ERP_PACKA - SAP ERP Foundation </w:t>
            </w:r>
          </w:p>
          <w:p w:rsidR="0068314A" w:rsidRPr="007C55B7" w:rsidRDefault="00AA6E62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 w:rsidRPr="007C55B7">
              <w:rPr>
                <w:lang w:val="en-US"/>
              </w:rPr>
              <w:t xml:space="preserve">Starter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-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334"/>
        </w:trPr>
        <w:tc>
          <w:tcPr>
            <w:tcW w:w="34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left"/>
            </w:pPr>
            <w:r>
              <w:t xml:space="preserve">SAP_APPLI - SAP Applications </w:t>
            </w:r>
          </w:p>
        </w:tc>
        <w:tc>
          <w:tcPr>
            <w:tcW w:w="131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- </w:t>
            </w:r>
          </w:p>
        </w:tc>
        <w:tc>
          <w:tcPr>
            <w:tcW w:w="11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  <w:tr w:rsidR="0068314A">
        <w:trPr>
          <w:trHeight w:val="658"/>
        </w:trPr>
        <w:tc>
          <w:tcPr>
            <w:tcW w:w="4790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nil"/>
            </w:tcBorders>
          </w:tcPr>
          <w:p w:rsidR="0068314A" w:rsidRDefault="0068314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91" w:type="dxa"/>
            <w:tcBorders>
              <w:top w:val="single" w:sz="8" w:space="0" w:color="548DD4"/>
              <w:left w:val="nil"/>
              <w:bottom w:val="single" w:sz="8" w:space="0" w:color="548DD4"/>
              <w:right w:val="nil"/>
            </w:tcBorders>
          </w:tcPr>
          <w:p w:rsidR="0068314A" w:rsidRDefault="00AA6E62">
            <w:pPr>
              <w:spacing w:after="0" w:line="276" w:lineRule="auto"/>
              <w:ind w:left="0" w:right="19" w:firstLine="0"/>
              <w:jc w:val="right"/>
            </w:pPr>
            <w:r>
              <w:t>V</w:t>
            </w:r>
          </w:p>
        </w:tc>
        <w:tc>
          <w:tcPr>
            <w:tcW w:w="942" w:type="dxa"/>
            <w:tcBorders>
              <w:top w:val="single" w:sz="8" w:space="0" w:color="548DD4"/>
              <w:left w:val="nil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</w:pPr>
            <w:r>
              <w:t xml:space="preserve">alor total * : </w:t>
            </w:r>
          </w:p>
        </w:tc>
        <w:tc>
          <w:tcPr>
            <w:tcW w:w="93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  <w:tc>
          <w:tcPr>
            <w:tcW w:w="94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68314A" w:rsidRDefault="00AA6E62">
            <w:pPr>
              <w:spacing w:after="0" w:line="276" w:lineRule="auto"/>
              <w:ind w:left="0" w:right="0" w:firstLine="0"/>
              <w:jc w:val="center"/>
            </w:pPr>
            <w:r>
              <w:t xml:space="preserve">  </w:t>
            </w:r>
          </w:p>
        </w:tc>
      </w:tr>
    </w:tbl>
    <w:p w:rsidR="0068314A" w:rsidRDefault="00AA6E62">
      <w:pPr>
        <w:numPr>
          <w:ilvl w:val="0"/>
          <w:numId w:val="4"/>
        </w:numPr>
        <w:ind w:hanging="324"/>
      </w:pPr>
      <w:r>
        <w:t xml:space="preserve">(*) Transportar os valores totais para a planilha de preço. </w:t>
      </w:r>
    </w:p>
    <w:p w:rsidR="0068314A" w:rsidRDefault="00AA6E62">
      <w:pPr>
        <w:numPr>
          <w:ilvl w:val="0"/>
          <w:numId w:val="4"/>
        </w:numPr>
        <w:ind w:hanging="324"/>
      </w:pPr>
      <w:r>
        <w:t xml:space="preserve">Licenças contratadas são as licenças que o Banco detém junto a SAP e que deve servir de referência para a elaboração dos preços. </w:t>
      </w:r>
    </w:p>
    <w:p w:rsidR="0068314A" w:rsidRDefault="00AA6E62">
      <w:pPr>
        <w:numPr>
          <w:ilvl w:val="0"/>
          <w:numId w:val="4"/>
        </w:numPr>
        <w:ind w:hanging="324"/>
      </w:pPr>
      <w:r>
        <w:t xml:space="preserve">Licenças de projeto é previsão de licenças que o Banco utilizará no decorre da fase de implementação. </w:t>
      </w:r>
    </w:p>
    <w:p w:rsidR="0068314A" w:rsidRDefault="00AA6E62">
      <w:pPr>
        <w:numPr>
          <w:ilvl w:val="0"/>
          <w:numId w:val="4"/>
        </w:numPr>
        <w:ind w:hanging="324"/>
      </w:pPr>
      <w:r>
        <w:t xml:space="preserve">O plano de desembolso a ser elaborado pelo Banco até a publicação do edital levará em consideração as previsões de utilização das licenças na fase de projeto e após a implantação.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314A" w:rsidRDefault="00AA6E6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8314A">
      <w:headerReference w:type="even" r:id="rId7"/>
      <w:headerReference w:type="default" r:id="rId8"/>
      <w:headerReference w:type="first" r:id="rId9"/>
      <w:pgSz w:w="11906" w:h="16838"/>
      <w:pgMar w:top="1440" w:right="1582" w:bottom="1440" w:left="1702" w:header="7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62" w:rsidRDefault="00AA6E62">
      <w:pPr>
        <w:spacing w:after="0" w:line="240" w:lineRule="auto"/>
      </w:pPr>
      <w:r>
        <w:separator/>
      </w:r>
    </w:p>
  </w:endnote>
  <w:endnote w:type="continuationSeparator" w:id="0">
    <w:p w:rsidR="00AA6E62" w:rsidRDefault="00AA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62" w:rsidRDefault="00AA6E62">
      <w:pPr>
        <w:spacing w:after="0" w:line="240" w:lineRule="auto"/>
      </w:pPr>
      <w:r>
        <w:separator/>
      </w:r>
    </w:p>
  </w:footnote>
  <w:footnote w:type="continuationSeparator" w:id="0">
    <w:p w:rsidR="00AA6E62" w:rsidRDefault="00AA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4A" w:rsidRDefault="00AA6E62">
    <w:pPr>
      <w:spacing w:after="687" w:line="240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1080770</wp:posOffset>
          </wp:positionH>
          <wp:positionV relativeFrom="page">
            <wp:posOffset>595630</wp:posOffset>
          </wp:positionV>
          <wp:extent cx="1323975" cy="55181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68314A" w:rsidRDefault="00AA6E62">
    <w:pPr>
      <w:spacing w:after="0" w:line="240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68314A" w:rsidRDefault="00AA6E6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5060" name="Group 250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A9B2B1B" id="Group 2506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eEZRt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4A" w:rsidRDefault="00AA6E62">
    <w:pPr>
      <w:spacing w:after="687" w:line="240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1080770</wp:posOffset>
          </wp:positionH>
          <wp:positionV relativeFrom="page">
            <wp:posOffset>595630</wp:posOffset>
          </wp:positionV>
          <wp:extent cx="1323975" cy="551815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7C55B7" w:rsidRPr="007C55B7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68314A" w:rsidRDefault="00AA6E62">
    <w:pPr>
      <w:spacing w:after="0" w:line="240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68314A" w:rsidRDefault="00AA6E6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5047" name="Group 250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1B8EAFC" id="Group 25047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7Qrd9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4A" w:rsidRDefault="00AA6E62">
    <w:pPr>
      <w:spacing w:after="687" w:line="240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1080770</wp:posOffset>
          </wp:positionH>
          <wp:positionV relativeFrom="page">
            <wp:posOffset>595630</wp:posOffset>
          </wp:positionV>
          <wp:extent cx="1323975" cy="55181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68314A" w:rsidRDefault="00AA6E62">
    <w:pPr>
      <w:spacing w:after="0" w:line="240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68314A" w:rsidRDefault="00AA6E6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5034" name="Group 250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1C27544" id="Group 25034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ih+6w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20BC4"/>
    <w:multiLevelType w:val="hybridMultilevel"/>
    <w:tmpl w:val="FA9CB84A"/>
    <w:lvl w:ilvl="0" w:tplc="6592135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9C73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2A20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CE9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7E4B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684B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2406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2A9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B606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1A3532"/>
    <w:multiLevelType w:val="hybridMultilevel"/>
    <w:tmpl w:val="FFE6CC08"/>
    <w:lvl w:ilvl="0" w:tplc="EC64444E">
      <w:start w:val="1"/>
      <w:numFmt w:val="lowerRoman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7E8F68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E89F2C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52068C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70EC66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74B99A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CA0800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2C0AE4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9CE75C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1A3F3F"/>
    <w:multiLevelType w:val="hybridMultilevel"/>
    <w:tmpl w:val="37C01FA8"/>
    <w:lvl w:ilvl="0" w:tplc="DD5821EE">
      <w:start w:val="1"/>
      <w:numFmt w:val="lowerRoman"/>
      <w:lvlText w:val="%1.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BC06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362C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A0D6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226B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0E36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18B5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0A94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34CC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EC3580"/>
    <w:multiLevelType w:val="hybridMultilevel"/>
    <w:tmpl w:val="4F4C6766"/>
    <w:lvl w:ilvl="0" w:tplc="29529060">
      <w:start w:val="1"/>
      <w:numFmt w:val="lowerRoman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2A3BF2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DC0432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9A86A0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9E4DBE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F86060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DC0270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ACA98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361670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0D16B1"/>
    <w:multiLevelType w:val="hybridMultilevel"/>
    <w:tmpl w:val="79E4BEE4"/>
    <w:lvl w:ilvl="0" w:tplc="E286C1A2">
      <w:start w:val="3"/>
      <w:numFmt w:val="lowerRoman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30F8EE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A2BD26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CCFA80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868FFA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A20F82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0C6C8C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6862B0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D634D8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F14B06"/>
    <w:multiLevelType w:val="hybridMultilevel"/>
    <w:tmpl w:val="F78E9454"/>
    <w:lvl w:ilvl="0" w:tplc="C8840A30">
      <w:start w:val="1"/>
      <w:numFmt w:val="lowerRoman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CE86F6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F259A2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847124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9202A8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820C00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7EA14E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06872A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A0F912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4A"/>
    <w:rsid w:val="0068314A"/>
    <w:rsid w:val="007C55B7"/>
    <w:rsid w:val="00AA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11C00-1B8C-4396-9D70-43F7BADF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5" w:line="236" w:lineRule="auto"/>
      <w:ind w:left="384" w:right="-14" w:hanging="284"/>
      <w:jc w:val="both"/>
    </w:pPr>
    <w:rPr>
      <w:rFonts w:ascii="Arial" w:eastAsia="Arial" w:hAnsi="Arial" w:cs="Arial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2275</Words>
  <Characters>12288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DO NORDESTE DO BRASIL S.A</Company>
  <LinksUpToDate>false</LinksUpToDate>
  <CharactersWithSpaces>14534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f037125</dc:creator>
  <cp:keywords/>
  <cp:lastModifiedBy>MARCELO Jorge Silva Oliveira C014212</cp:lastModifiedBy>
  <cp:revision>2</cp:revision>
  <dcterms:created xsi:type="dcterms:W3CDTF">2019-02-13T12:15:00Z</dcterms:created>
  <dcterms:modified xsi:type="dcterms:W3CDTF">2019-02-13T12:15:00Z</dcterms:modified>
</cp:coreProperties>
</file>